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bidi w:val="0"/>
        <w:spacing w:lineRule="auto" w:line="240" w:before="0" w:after="135"/>
        <w:jc w:val="left"/>
        <w:rPr>
          <w:rFonts w:ascii="Calibri" w:hAnsi="Calibri" w:eastAsia="Times New Roman" w:cs="Arial"/>
          <w:b/>
          <w:b/>
          <w:bCs/>
          <w:color w:val="2A6099"/>
          <w:sz w:val="24"/>
          <w:szCs w:val="24"/>
          <w:lang w:eastAsia="nl-NL"/>
        </w:rPr>
      </w:pPr>
      <w:r>
        <w:rPr>
          <w:rFonts w:eastAsia="Times New Roman" w:cs="Arial" w:ascii="Calibri" w:hAnsi="Calibri"/>
          <w:b/>
          <w:bCs/>
          <w:color w:val="2A6099"/>
          <w:sz w:val="24"/>
          <w:szCs w:val="24"/>
          <w:lang w:eastAsia="nl-NL"/>
        </w:rPr>
        <w:drawing>
          <wp:anchor behindDoc="0" distT="0" distB="0" distL="0" distR="0" simplePos="0" locked="0" layoutInCell="1" allowOverlap="1" relativeHeight="2">
            <wp:simplePos x="0" y="0"/>
            <wp:positionH relativeFrom="column">
              <wp:posOffset>4823460</wp:posOffset>
            </wp:positionH>
            <wp:positionV relativeFrom="paragraph">
              <wp:posOffset>-627380</wp:posOffset>
            </wp:positionV>
            <wp:extent cx="1917700" cy="191770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917700" cy="1917700"/>
                    </a:xfrm>
                    <a:prstGeom prst="rect">
                      <a:avLst/>
                    </a:prstGeom>
                  </pic:spPr>
                </pic:pic>
              </a:graphicData>
            </a:graphic>
          </wp:anchor>
        </w:drawing>
      </w:r>
    </w:p>
    <w:p>
      <w:pPr>
        <w:pStyle w:val="Normal"/>
        <w:shd w:val="clear" w:fill="FFFFFF"/>
        <w:bidi w:val="0"/>
        <w:spacing w:lineRule="auto" w:line="240" w:before="0" w:after="135"/>
        <w:jc w:val="left"/>
        <w:rPr>
          <w:rFonts w:ascii="Calibri" w:hAnsi="Calibri" w:eastAsia="Times New Roman" w:cs="Arial"/>
          <w:b/>
          <w:b/>
          <w:bCs/>
          <w:color w:val="2A6099"/>
          <w:sz w:val="24"/>
          <w:szCs w:val="24"/>
          <w:lang w:eastAsia="nl-NL"/>
        </w:rPr>
      </w:pPr>
      <w:r>
        <w:rPr>
          <w:rFonts w:eastAsia="Times New Roman" w:cs="Arial" w:ascii="Calibri" w:hAnsi="Calibri"/>
          <w:b/>
          <w:bCs/>
          <w:color w:val="2A6099"/>
          <w:sz w:val="24"/>
          <w:szCs w:val="24"/>
          <w:lang w:eastAsia="nl-NL"/>
        </w:rPr>
        <w:tab/>
        <w:tab/>
        <w:tab/>
        <w:tab/>
        <w:tab/>
        <w:tab/>
        <w:tab/>
      </w:r>
    </w:p>
    <w:p>
      <w:pPr>
        <w:pStyle w:val="Normal"/>
        <w:shd w:val="clear" w:fill="FFFFFF"/>
        <w:bidi w:val="0"/>
        <w:spacing w:lineRule="auto" w:line="240" w:before="0" w:after="135"/>
        <w:jc w:val="left"/>
        <w:rPr>
          <w:rFonts w:ascii="Calibri" w:hAnsi="Calibri" w:eastAsia="Times New Roman" w:cs="Arial"/>
          <w:b/>
          <w:b/>
          <w:bCs/>
          <w:color w:val="2A6099"/>
          <w:sz w:val="24"/>
          <w:szCs w:val="24"/>
          <w:lang w:eastAsia="nl-NL"/>
        </w:rPr>
      </w:pPr>
      <w:r>
        <w:rPr>
          <w:rFonts w:eastAsia="Times New Roman" w:cs="Arial" w:ascii="Calibri" w:hAnsi="Calibri"/>
          <w:b/>
          <w:bCs/>
          <w:color w:val="2A6099"/>
          <w:sz w:val="24"/>
          <w:szCs w:val="24"/>
          <w:lang w:eastAsia="nl-NL"/>
        </w:rPr>
      </w:r>
    </w:p>
    <w:p>
      <w:pPr>
        <w:pStyle w:val="Normal"/>
        <w:shd w:val="clear" w:fill="FFFFFF"/>
        <w:bidi w:val="0"/>
        <w:spacing w:lineRule="auto" w:line="240" w:before="0" w:after="135"/>
        <w:jc w:val="left"/>
        <w:rPr>
          <w:rFonts w:ascii="Calibri" w:hAnsi="Calibri" w:eastAsia="Times New Roman" w:cs="Arial"/>
          <w:b/>
          <w:b/>
          <w:bCs/>
          <w:color w:val="2A6099"/>
          <w:sz w:val="24"/>
          <w:szCs w:val="24"/>
          <w:lang w:eastAsia="nl-NL"/>
        </w:rPr>
      </w:pPr>
      <w:r>
        <w:rPr>
          <w:rFonts w:eastAsia="Times New Roman" w:cs="Arial" w:ascii="Calibri" w:hAnsi="Calibri"/>
          <w:b/>
          <w:bCs/>
          <w:color w:val="2A6099"/>
          <w:sz w:val="24"/>
          <w:szCs w:val="24"/>
          <w:lang w:eastAsia="nl-NL"/>
        </w:rPr>
        <w:t xml:space="preserve">INFORMATIEBLAD FORENSISCH AMBULANTE BEGELEIDING (FAB) </w:t>
      </w:r>
    </w:p>
    <w:p>
      <w:pPr>
        <w:pStyle w:val="Normal"/>
        <w:shd w:val="clear" w:fill="FFFFFF"/>
        <w:bidi w:val="0"/>
        <w:spacing w:lineRule="auto" w:line="240" w:before="0" w:after="135"/>
        <w:jc w:val="left"/>
        <w:rPr>
          <w:rFonts w:ascii="Calibri" w:hAnsi="Calibri" w:eastAsia="Times New Roman" w:cs="Arial"/>
          <w:color w:val="2A6099"/>
          <w:sz w:val="24"/>
          <w:szCs w:val="24"/>
          <w:lang w:eastAsia="nl-NL"/>
        </w:rPr>
      </w:pPr>
      <w:r>
        <w:rPr>
          <w:rFonts w:eastAsia="Times New Roman" w:cs="Arial" w:ascii="Calibri" w:hAnsi="Calibri"/>
          <w:color w:val="2A6099"/>
          <w:sz w:val="24"/>
          <w:szCs w:val="24"/>
          <w:lang w:eastAsia="nl-NL"/>
        </w:rPr>
        <w:t>Forensisch Ambulante Begeleiding (FAB) is gericht op het voorkomen van herhaling van strafbaar gedrag. In samenwerking met de reclassering wordt bepaald wat de primaire focus van de begeleiding is. In gezamenlijkheid worden de risicofactoren en de beschermende factoren in kaart gebracht, waarna met de cliënt een begeleidingsplan wordt opgesteld. Dit plan wordt gedurende het traject geëvalueerd in een driegesprek tussen de reclassering, de cliënt en de ambulant begeleider.</w:t>
      </w:r>
    </w:p>
    <w:p>
      <w:pPr>
        <w:pStyle w:val="Normal"/>
        <w:bidi w:val="0"/>
        <w:spacing w:lineRule="auto" w:line="240"/>
        <w:jc w:val="left"/>
        <w:rPr>
          <w:rFonts w:ascii="Calibri" w:hAnsi="Calibri"/>
          <w:b/>
          <w:b/>
          <w:bCs/>
          <w:color w:val="2A6099"/>
          <w:sz w:val="24"/>
          <w:szCs w:val="24"/>
        </w:rPr>
      </w:pPr>
      <w:r>
        <w:rPr>
          <w:rFonts w:ascii="Calibri" w:hAnsi="Calibri"/>
          <w:b/>
          <w:bCs/>
          <w:color w:val="2A6099"/>
          <w:sz w:val="24"/>
          <w:szCs w:val="24"/>
        </w:rPr>
      </w:r>
    </w:p>
    <w:p>
      <w:pPr>
        <w:pStyle w:val="Normal"/>
        <w:bidi w:val="0"/>
        <w:spacing w:lineRule="auto" w:line="240"/>
        <w:jc w:val="left"/>
        <w:rPr>
          <w:rFonts w:ascii="Calibri" w:hAnsi="Calibri"/>
          <w:b/>
          <w:b/>
          <w:bCs/>
          <w:color w:val="2A6099"/>
          <w:sz w:val="24"/>
          <w:szCs w:val="24"/>
        </w:rPr>
      </w:pPr>
      <w:r>
        <w:rPr>
          <w:rFonts w:ascii="Calibri" w:hAnsi="Calibri"/>
          <w:b/>
          <w:bCs/>
          <w:color w:val="2A6099"/>
          <w:sz w:val="24"/>
          <w:szCs w:val="24"/>
        </w:rPr>
        <w:t>DOEL</w:t>
      </w:r>
    </w:p>
    <w:p>
      <w:pPr>
        <w:pStyle w:val="Textbody"/>
        <w:bidi w:val="0"/>
        <w:spacing w:lineRule="auto" w:line="240"/>
        <w:jc w:val="left"/>
        <w:rPr>
          <w:rFonts w:ascii="Calibri" w:hAnsi="Calibri"/>
        </w:rPr>
      </w:pPr>
      <w:r>
        <w:rPr>
          <w:rFonts w:eastAsia="" w:cs="" w:ascii="Calibri" w:hAnsi="Calibri" w:cstheme="minorBidi" w:eastAsiaTheme="minorHAnsi"/>
          <w:b w:val="false"/>
          <w:bCs w:val="false"/>
          <w:color w:val="2A6099"/>
          <w:kern w:val="0"/>
          <w:sz w:val="24"/>
          <w:szCs w:val="24"/>
          <w:lang w:val="nl-NL" w:eastAsia="en-US" w:bidi="ar-SA"/>
        </w:rPr>
        <w:t xml:space="preserve">De forensisch ambulante begeleiding heeft als doel het verminderen van overlastgevend en (herhaling van) strafbaar gedrag. Onze begeleiding draagt bij aan de resocialisatie van </w:t>
      </w:r>
      <w:r>
        <w:rPr>
          <w:rFonts w:eastAsia="Droid Sans Fallback" w:cs="Droid Sans Devanagari" w:ascii="Calibri" w:hAnsi="Calibri"/>
          <w:b w:val="false"/>
          <w:bCs w:val="false"/>
          <w:color w:val="2A6099"/>
          <w:kern w:val="2"/>
          <w:sz w:val="24"/>
          <w:szCs w:val="24"/>
          <w:lang w:val="nl-NL" w:eastAsia="zh-CN" w:bidi="hi-IN"/>
        </w:rPr>
        <w:t>de</w:t>
      </w:r>
      <w:r>
        <w:rPr>
          <w:rFonts w:eastAsia="" w:cs="" w:ascii="Calibri" w:hAnsi="Calibri" w:cstheme="minorBidi" w:eastAsiaTheme="minorHAnsi"/>
          <w:b w:val="false"/>
          <w:bCs w:val="false"/>
          <w:color w:val="2A6099"/>
          <w:kern w:val="0"/>
          <w:sz w:val="24"/>
          <w:szCs w:val="24"/>
          <w:lang w:val="nl-NL" w:eastAsia="en-US" w:bidi="ar-SA"/>
        </w:rPr>
        <w:t xml:space="preserve"> cliënten in de maatschappij. Samen voor een veiligere samenleving. </w:t>
      </w:r>
    </w:p>
    <w:p>
      <w:pPr>
        <w:pStyle w:val="Normal"/>
        <w:bidi w:val="0"/>
        <w:spacing w:lineRule="auto" w:line="240"/>
        <w:jc w:val="left"/>
        <w:rPr>
          <w:rFonts w:eastAsia="" w:cs="" w:asciiTheme="minorHAnsi" w:cstheme="minorBidi" w:eastAsiaTheme="minorHAnsi" w:hAnsiTheme="minorHAnsi"/>
          <w:b/>
          <w:b/>
          <w:bCs/>
          <w:color w:val="2A6099"/>
          <w:kern w:val="0"/>
          <w:sz w:val="24"/>
          <w:szCs w:val="24"/>
          <w:lang w:val="nl-NL" w:eastAsia="en-US" w:bidi="ar-SA"/>
        </w:rPr>
      </w:pPr>
      <w:r>
        <w:rPr>
          <w:rFonts w:eastAsia="" w:cs="" w:asciiTheme="minorHAnsi" w:cstheme="minorBidi" w:eastAsiaTheme="minorHAnsi" w:hAnsiTheme="minorHAnsi"/>
          <w:b/>
          <w:bCs/>
          <w:color w:val="2A6099"/>
          <w:kern w:val="0"/>
          <w:sz w:val="24"/>
          <w:szCs w:val="24"/>
          <w:lang w:val="nl-NL" w:eastAsia="en-US" w:bidi="ar-SA"/>
        </w:rPr>
      </w:r>
    </w:p>
    <w:p>
      <w:pPr>
        <w:pStyle w:val="Normal"/>
        <w:bidi w:val="0"/>
        <w:spacing w:lineRule="auto" w:line="240"/>
        <w:jc w:val="left"/>
        <w:rPr>
          <w:rFonts w:eastAsia="" w:cs="" w:asciiTheme="minorHAnsi" w:cstheme="minorBidi" w:eastAsiaTheme="minorHAnsi" w:hAnsiTheme="minorHAnsi"/>
          <w:b/>
          <w:b/>
          <w:bCs/>
          <w:color w:val="2A6099"/>
          <w:kern w:val="0"/>
          <w:sz w:val="24"/>
          <w:szCs w:val="24"/>
          <w:lang w:val="nl-NL" w:eastAsia="en-US" w:bidi="ar-SA"/>
        </w:rPr>
      </w:pPr>
      <w:r>
        <w:rPr>
          <w:rFonts w:eastAsia="" w:cs="" w:ascii="Calibri" w:hAnsi="Calibri" w:cstheme="minorBidi" w:eastAsiaTheme="minorHAnsi"/>
          <w:b/>
          <w:bCs/>
          <w:color w:val="2A6099"/>
          <w:kern w:val="0"/>
          <w:sz w:val="24"/>
          <w:szCs w:val="24"/>
          <w:lang w:val="nl-NL" w:eastAsia="en-US" w:bidi="ar-SA"/>
        </w:rPr>
        <w:t>DOELGROEP</w:t>
      </w:r>
    </w:p>
    <w:p>
      <w:pPr>
        <w:pStyle w:val="Normal"/>
        <w:tabs>
          <w:tab w:val="clear" w:pos="709"/>
          <w:tab w:val="left" w:pos="-1134" w:leader="none"/>
        </w:tabs>
        <w:bidi w:val="0"/>
        <w:spacing w:lineRule="auto" w:line="240" w:before="0" w:after="0"/>
        <w:ind w:left="0" w:right="0" w:hanging="0"/>
        <w:contextualSpacing/>
        <w:jc w:val="left"/>
        <w:rPr/>
      </w:pPr>
      <w:r>
        <w:rPr>
          <w:rFonts w:eastAsia="Times New Roman" w:cs="Calibri" w:ascii="Calibri" w:hAnsi="Calibri"/>
          <w:b w:val="false"/>
          <w:bCs w:val="false"/>
          <w:color w:val="2A6099"/>
          <w:sz w:val="24"/>
          <w:szCs w:val="24"/>
          <w:lang w:eastAsia="nl-NL"/>
        </w:rPr>
        <w:t>Z</w:t>
      </w:r>
      <w:r>
        <w:rPr>
          <w:rFonts w:eastAsia="Times New Roman" w:cs="Calibri" w:ascii="Calibri" w:hAnsi="Calibri"/>
          <w:b w:val="false"/>
          <w:bCs w:val="false"/>
          <w:color w:val="2A6099"/>
          <w:sz w:val="24"/>
          <w:szCs w:val="24"/>
          <w:lang w:eastAsia="nl-NL"/>
        </w:rPr>
        <w:t>inso</w:t>
      </w:r>
      <w:r>
        <w:rPr>
          <w:rFonts w:eastAsia="Times New Roman" w:cs="Calibri" w:ascii="Calibri" w:hAnsi="Calibri"/>
          <w:b w:val="false"/>
          <w:bCs w:val="false"/>
          <w:color w:val="2A6099"/>
          <w:sz w:val="24"/>
          <w:szCs w:val="24"/>
          <w:lang w:eastAsia="nl-NL"/>
        </w:rPr>
        <w:t xml:space="preserve"> biedt forensisch ambulante begeleiding aan cliënten (18+) die met politie en justitie in aanraking zijn gekomen of dreigen te geraken. </w:t>
      </w:r>
      <w:r>
        <w:rPr>
          <w:rFonts w:eastAsia="Times New Roman" w:cs="Calibri" w:ascii="Calibri" w:hAnsi="Calibri"/>
          <w:b w:val="false"/>
          <w:bCs w:val="false"/>
          <w:color w:val="2A6099"/>
          <w:sz w:val="24"/>
          <w:szCs w:val="24"/>
          <w:u w:val="none"/>
          <w:lang w:eastAsia="nl-NL"/>
        </w:rPr>
        <w:t xml:space="preserve">Het gaat </w:t>
      </w:r>
      <w:r>
        <w:rPr>
          <w:rFonts w:eastAsia="Times New Roman" w:cs="Calibri" w:ascii="Calibri" w:hAnsi="Calibri"/>
          <w:b w:val="false"/>
          <w:bCs w:val="false"/>
          <w:color w:val="2A6099"/>
          <w:kern w:val="0"/>
          <w:sz w:val="24"/>
          <w:szCs w:val="24"/>
          <w:u w:val="none"/>
          <w:lang w:val="nl-NL" w:eastAsia="nl-NL" w:bidi="ar-SA"/>
        </w:rPr>
        <w:t>veelal om</w:t>
      </w:r>
      <w:r>
        <w:rPr>
          <w:rFonts w:eastAsia="Times New Roman" w:cs="Calibri" w:ascii="Calibri" w:hAnsi="Calibri"/>
          <w:b w:val="false"/>
          <w:bCs w:val="false"/>
          <w:color w:val="2A6099"/>
          <w:sz w:val="24"/>
          <w:szCs w:val="24"/>
          <w:u w:val="none"/>
          <w:lang w:eastAsia="nl-NL"/>
        </w:rPr>
        <w:t xml:space="preserve"> cliënten </w:t>
      </w:r>
      <w:r>
        <w:rPr>
          <w:rFonts w:eastAsia="Times New Roman" w:cs="Calibri" w:ascii="Calibri" w:hAnsi="Calibri"/>
          <w:b w:val="false"/>
          <w:bCs w:val="false"/>
          <w:color w:val="2A6099"/>
          <w:kern w:val="0"/>
          <w:sz w:val="24"/>
          <w:szCs w:val="24"/>
          <w:u w:val="none"/>
          <w:lang w:val="nl-NL" w:eastAsia="nl-NL" w:bidi="ar-SA"/>
        </w:rPr>
        <w:t>met</w:t>
      </w:r>
      <w:r>
        <w:rPr>
          <w:rFonts w:eastAsia="Times New Roman" w:cs="Calibri" w:ascii="Calibri" w:hAnsi="Calibri"/>
          <w:b w:val="false"/>
          <w:bCs w:val="false"/>
          <w:color w:val="2A6099"/>
          <w:sz w:val="24"/>
          <w:szCs w:val="24"/>
          <w:u w:val="none"/>
          <w:lang w:eastAsia="nl-NL"/>
        </w:rPr>
        <w:t xml:space="preserve"> problematiek op meerdere leefgebieden (financieel, psychosociaal, justitieel, houding en </w:t>
      </w:r>
      <w:r>
        <w:rPr>
          <w:rFonts w:eastAsia="Droid Sans Fallback" w:cs="Droid Sans Devanagari" w:ascii="Calibri" w:hAnsi="Calibri"/>
          <w:b w:val="false"/>
          <w:bCs w:val="false"/>
          <w:color w:val="2A6099"/>
          <w:kern w:val="2"/>
          <w:sz w:val="24"/>
          <w:szCs w:val="24"/>
          <w:u w:val="none"/>
          <w:lang w:val="nl-NL" w:eastAsia="zh-CN" w:bidi="hi-IN"/>
        </w:rPr>
        <w:t>gedrag</w:t>
      </w:r>
      <w:r>
        <w:rPr>
          <w:rFonts w:eastAsia="Times New Roman" w:cs="Calibri" w:ascii="Calibri" w:hAnsi="Calibri"/>
          <w:b w:val="false"/>
          <w:bCs w:val="false"/>
          <w:color w:val="2A6099"/>
          <w:sz w:val="24"/>
          <w:szCs w:val="24"/>
          <w:u w:val="none"/>
          <w:lang w:eastAsia="nl-NL"/>
        </w:rPr>
        <w:t xml:space="preserve">, psychische problemen, middelengebruik). Naast het feit dat zij problemen hebben, willen zij graag deelnemen aan de samenleving. </w:t>
      </w:r>
      <w:r>
        <w:rPr>
          <w:rFonts w:eastAsia="Times New Roman" w:cs="Calibri" w:ascii="Calibri" w:hAnsi="Calibri"/>
          <w:b w:val="false"/>
          <w:bCs w:val="false"/>
          <w:color w:val="2A6099"/>
          <w:kern w:val="0"/>
          <w:sz w:val="24"/>
          <w:szCs w:val="24"/>
          <w:u w:val="none"/>
          <w:lang w:val="nl-NL" w:eastAsia="nl-NL" w:bidi="ar-SA"/>
        </w:rPr>
        <w:t>Z</w:t>
      </w:r>
      <w:r>
        <w:rPr>
          <w:rFonts w:eastAsia="Times New Roman" w:cs="Calibri" w:ascii="Calibri" w:hAnsi="Calibri"/>
          <w:b w:val="false"/>
          <w:bCs w:val="false"/>
          <w:color w:val="2A6099"/>
          <w:kern w:val="0"/>
          <w:sz w:val="24"/>
          <w:szCs w:val="24"/>
          <w:u w:val="none"/>
          <w:lang w:val="nl-NL" w:eastAsia="nl-NL" w:bidi="ar-SA"/>
        </w:rPr>
        <w:t>ins</w:t>
      </w:r>
      <w:r>
        <w:rPr>
          <w:rFonts w:eastAsia="Times New Roman" w:cs="Calibri" w:ascii="Calibri" w:hAnsi="Calibri"/>
          <w:b w:val="false"/>
          <w:bCs w:val="false"/>
          <w:color w:val="2A6099"/>
          <w:kern w:val="0"/>
          <w:sz w:val="24"/>
          <w:szCs w:val="24"/>
          <w:u w:val="none"/>
          <w:lang w:val="nl-NL" w:eastAsia="nl-NL" w:bidi="ar-SA"/>
        </w:rPr>
        <w:t xml:space="preserve">o </w:t>
      </w:r>
      <w:r>
        <w:rPr>
          <w:rFonts w:eastAsia="Times New Roman" w:cs="Calibri" w:ascii="Calibri" w:hAnsi="Calibri"/>
          <w:b w:val="false"/>
          <w:bCs w:val="false"/>
          <w:color w:val="2A6099"/>
          <w:kern w:val="0"/>
          <w:sz w:val="24"/>
          <w:szCs w:val="24"/>
          <w:u w:val="none"/>
          <w:lang w:val="nl-NL" w:eastAsia="nl-NL" w:bidi="ar-SA"/>
        </w:rPr>
        <w:t>hee</w:t>
      </w:r>
      <w:r>
        <w:rPr>
          <w:rFonts w:eastAsia="Times New Roman" w:cs="Calibri" w:ascii="Calibri" w:hAnsi="Calibri"/>
          <w:b w:val="false"/>
          <w:bCs w:val="false"/>
          <w:color w:val="2A6099"/>
          <w:sz w:val="24"/>
          <w:szCs w:val="24"/>
          <w:u w:val="none"/>
          <w:lang w:eastAsia="nl-NL"/>
        </w:rPr>
        <w:t xml:space="preserve">ft hierbij zowel oog voor de kwetsbaarheden van de cliënt als wel voor de veiligheid van de samenleving.  </w:t>
      </w:r>
    </w:p>
    <w:p>
      <w:pPr>
        <w:pStyle w:val="Normal"/>
        <w:tabs>
          <w:tab w:val="clear" w:pos="709"/>
          <w:tab w:val="left" w:pos="-1134" w:leader="none"/>
        </w:tabs>
        <w:bidi w:val="0"/>
        <w:spacing w:lineRule="auto" w:line="240" w:before="0" w:after="0"/>
        <w:ind w:left="0" w:right="0" w:hanging="0"/>
        <w:contextualSpacing/>
        <w:jc w:val="left"/>
        <w:rPr>
          <w:rFonts w:ascii="Calibri" w:hAnsi="Calibri" w:eastAsia="Times New Roman" w:cs="Calibri"/>
          <w:b w:val="false"/>
          <w:b w:val="false"/>
          <w:bCs w:val="false"/>
          <w:color w:val="2A6099"/>
          <w:sz w:val="24"/>
          <w:szCs w:val="24"/>
          <w:lang w:eastAsia="nl-NL"/>
        </w:rPr>
      </w:pPr>
      <w:r>
        <w:rPr>
          <w:rFonts w:eastAsia="Times New Roman" w:cs="Calibri" w:ascii="Calibri" w:hAnsi="Calibri"/>
          <w:b w:val="false"/>
          <w:bCs w:val="false"/>
          <w:color w:val="2A6099"/>
          <w:sz w:val="24"/>
          <w:szCs w:val="24"/>
          <w:lang w:eastAsia="nl-NL"/>
        </w:rPr>
      </w:r>
    </w:p>
    <w:p>
      <w:pPr>
        <w:pStyle w:val="Normal"/>
        <w:tabs>
          <w:tab w:val="clear" w:pos="709"/>
          <w:tab w:val="left" w:pos="-1134" w:leader="none"/>
        </w:tabs>
        <w:bidi w:val="0"/>
        <w:spacing w:lineRule="auto" w:line="240" w:before="0" w:after="0"/>
        <w:ind w:left="0" w:right="0" w:hanging="0"/>
        <w:contextualSpacing/>
        <w:jc w:val="left"/>
        <w:rPr/>
      </w:pPr>
      <w:r>
        <w:rPr>
          <w:rFonts w:eastAsia="Times New Roman" w:cs="Arial" w:ascii="Calibri" w:hAnsi="Calibri"/>
          <w:b w:val="false"/>
          <w:bCs w:val="false"/>
          <w:color w:val="2A6099"/>
          <w:kern w:val="2"/>
          <w:sz w:val="24"/>
          <w:szCs w:val="24"/>
          <w:lang w:val="nl-NL" w:eastAsia="nl-NL" w:bidi="hi-IN"/>
        </w:rPr>
        <w:t>Continuïteit van zorg is van groot belang. Z</w:t>
      </w:r>
      <w:r>
        <w:rPr>
          <w:rFonts w:eastAsia="Times New Roman" w:cs="Arial" w:ascii="Calibri" w:hAnsi="Calibri"/>
          <w:b w:val="false"/>
          <w:bCs w:val="false"/>
          <w:color w:val="2A6099"/>
          <w:kern w:val="2"/>
          <w:sz w:val="24"/>
          <w:szCs w:val="24"/>
          <w:lang w:val="nl-NL" w:eastAsia="nl-NL" w:bidi="hi-IN"/>
        </w:rPr>
        <w:t>ins</w:t>
      </w:r>
      <w:r>
        <w:rPr>
          <w:rFonts w:eastAsia="Times New Roman" w:cs="Arial" w:ascii="Calibri" w:hAnsi="Calibri"/>
          <w:b w:val="false"/>
          <w:bCs w:val="false"/>
          <w:color w:val="2A6099"/>
          <w:kern w:val="2"/>
          <w:sz w:val="24"/>
          <w:szCs w:val="24"/>
          <w:lang w:val="nl-NL" w:eastAsia="nl-NL" w:bidi="hi-IN"/>
        </w:rPr>
        <w:t xml:space="preserve">o vindt het van belang dat een reeds opgebouwde vertrouwensband tussen de begeleider en de cliënt kan blijven bestaan, wanneer voortzetting van hulp en of begeleiding noodzakelijk is. Wij bieden de mogelijkheid om na het aflopen van de justitiële titel de zorg in vrijwillig kader te continueren. </w:t>
      </w:r>
    </w:p>
    <w:p>
      <w:pPr>
        <w:pStyle w:val="Normal"/>
        <w:shd w:val="clear" w:fill="FFFFFF"/>
        <w:bidi w:val="0"/>
        <w:spacing w:lineRule="auto" w:line="240" w:before="0" w:after="0"/>
        <w:jc w:val="left"/>
        <w:rPr>
          <w:rFonts w:eastAsia="Times New Roman" w:cs="Arial" w:asciiTheme="minorHAnsi" w:hAnsiTheme="minorHAnsi"/>
          <w:b/>
          <w:b/>
          <w:bCs/>
          <w:color w:val="2A6099"/>
          <w:kern w:val="0"/>
          <w:sz w:val="24"/>
          <w:szCs w:val="24"/>
          <w:lang w:val="nl-NL" w:eastAsia="nl-NL" w:bidi="ar-SA"/>
        </w:rPr>
      </w:pPr>
      <w:r>
        <w:rPr>
          <w:rFonts w:eastAsia="Times New Roman" w:cs="Arial" w:asciiTheme="minorHAnsi" w:hAnsiTheme="minorHAnsi"/>
          <w:b/>
          <w:bCs/>
          <w:color w:val="2A6099"/>
          <w:kern w:val="0"/>
          <w:sz w:val="24"/>
          <w:szCs w:val="24"/>
          <w:lang w:val="nl-NL" w:eastAsia="nl-NL" w:bidi="ar-SA"/>
        </w:rPr>
      </w:r>
    </w:p>
    <w:p>
      <w:pPr>
        <w:pStyle w:val="Normal"/>
        <w:shd w:val="clear" w:fill="FFFFFF"/>
        <w:bidi w:val="0"/>
        <w:spacing w:lineRule="auto" w:line="240" w:before="0" w:after="0"/>
        <w:jc w:val="left"/>
        <w:rPr>
          <w:rFonts w:ascii="Calibri" w:hAnsi="Calibri"/>
        </w:rPr>
      </w:pPr>
      <w:r>
        <w:rPr>
          <w:rFonts w:eastAsia="Times New Roman" w:cs="Arial" w:ascii="Calibri" w:hAnsi="Calibri"/>
          <w:b/>
          <w:bCs/>
          <w:color w:val="2A6099"/>
          <w:kern w:val="0"/>
          <w:sz w:val="24"/>
          <w:szCs w:val="24"/>
          <w:lang w:val="nl-NL" w:eastAsia="nl-NL" w:bidi="ar-SA"/>
        </w:rPr>
        <w:t>RISICOTAXATIE</w:t>
      </w:r>
      <w:r>
        <w:rPr>
          <w:rFonts w:eastAsia="Times New Roman" w:cs="Arial" w:ascii="Calibri" w:hAnsi="Calibri"/>
          <w:b/>
          <w:bCs/>
          <w:color w:val="2A6099"/>
          <w:sz w:val="24"/>
          <w:szCs w:val="24"/>
          <w:lang w:eastAsia="nl-NL"/>
        </w:rPr>
        <w:t xml:space="preserve"> </w:t>
      </w:r>
    </w:p>
    <w:p>
      <w:pPr>
        <w:pStyle w:val="Normal"/>
        <w:shd w:val="clear" w:fill="FFFFFF"/>
        <w:bidi w:val="0"/>
        <w:spacing w:lineRule="auto" w:line="240" w:before="0" w:after="0"/>
        <w:jc w:val="left"/>
        <w:rPr>
          <w:rFonts w:ascii="Calibri" w:hAnsi="Calibri" w:eastAsia="Times New Roman" w:cs="Arial"/>
          <w:b w:val="false"/>
          <w:b w:val="false"/>
          <w:bCs w:val="false"/>
          <w:color w:val="2A6099"/>
          <w:sz w:val="24"/>
          <w:szCs w:val="24"/>
          <w:lang w:eastAsia="nl-NL"/>
        </w:rPr>
      </w:pPr>
      <w:r>
        <w:rPr>
          <w:rFonts w:eastAsia="Times New Roman" w:cs="Arial" w:ascii="Calibri" w:hAnsi="Calibri"/>
          <w:b w:val="false"/>
          <w:bCs w:val="false"/>
          <w:color w:val="2A6099"/>
          <w:sz w:val="24"/>
          <w:szCs w:val="24"/>
          <w:lang w:eastAsia="nl-NL"/>
        </w:rPr>
        <w:t>Onze collega’s zijn geschoold in het afnemen en het duidden van de uitkomsten van de Forensisch Ambulante Risico Evaluatie. DE FARE is ontwikkeld ten behoeve van het vaststellen van het recidiverisico voor algemene recidive en het monitoren van veranderingen in de dynamische risicofactoren.</w:t>
      </w:r>
    </w:p>
    <w:p>
      <w:pPr>
        <w:pStyle w:val="Normal"/>
        <w:shd w:val="clear" w:fill="FFFFFF"/>
        <w:bidi w:val="0"/>
        <w:spacing w:lineRule="auto" w:line="240" w:before="0" w:after="0"/>
        <w:jc w:val="left"/>
        <w:rPr>
          <w:rFonts w:ascii="Calibri" w:hAnsi="Calibri" w:eastAsia="Times New Roman" w:cs="Arial"/>
          <w:b w:val="false"/>
          <w:b w:val="false"/>
          <w:bCs w:val="false"/>
          <w:color w:val="2A6099"/>
          <w:sz w:val="24"/>
          <w:szCs w:val="24"/>
          <w:lang w:eastAsia="nl-NL"/>
        </w:rPr>
      </w:pPr>
      <w:r>
        <w:rPr>
          <w:rFonts w:eastAsia="Times New Roman" w:cs="Arial" w:ascii="Calibri" w:hAnsi="Calibri"/>
          <w:b w:val="false"/>
          <w:bCs w:val="false"/>
          <w:color w:val="2A6099"/>
          <w:sz w:val="24"/>
          <w:szCs w:val="24"/>
          <w:lang w:eastAsia="nl-NL"/>
        </w:rPr>
      </w:r>
    </w:p>
    <w:p>
      <w:pPr>
        <w:pStyle w:val="Normal"/>
        <w:shd w:val="clear" w:fill="FFFFFF"/>
        <w:bidi w:val="0"/>
        <w:spacing w:lineRule="auto" w:line="240" w:before="0" w:after="0"/>
        <w:jc w:val="left"/>
        <w:rPr>
          <w:rFonts w:ascii="Calibri" w:hAnsi="Calibri" w:eastAsia="Times New Roman" w:cs="Arial"/>
          <w:b w:val="false"/>
          <w:b w:val="false"/>
          <w:bCs w:val="false"/>
          <w:color w:val="2A6099"/>
          <w:sz w:val="24"/>
          <w:szCs w:val="24"/>
          <w:lang w:eastAsia="nl-NL"/>
        </w:rPr>
      </w:pPr>
      <w:r>
        <w:rPr>
          <w:rFonts w:eastAsia="Times New Roman" w:cs="Arial" w:ascii="Calibri" w:hAnsi="Calibri"/>
          <w:b w:val="false"/>
          <w:bCs w:val="false"/>
          <w:color w:val="2A6099"/>
          <w:sz w:val="24"/>
          <w:szCs w:val="24"/>
          <w:lang w:eastAsia="nl-NL"/>
        </w:rPr>
        <w:t>Daar waar nodig wordt het risicotaxatie instrument ingezet om meer duidelijkheid te krijgen over de criminogene en beschermende factoren. Met de uitkomsten van het risicotaxatie instrument, in samenspraak met de reclassering en de cliënt worden de begeleidingsdoelen opgesteld.</w:t>
      </w:r>
    </w:p>
    <w:p>
      <w:pPr>
        <w:pStyle w:val="Normal"/>
        <w:shd w:val="clear" w:fill="FFFFFF"/>
        <w:bidi w:val="0"/>
        <w:spacing w:lineRule="auto" w:line="240" w:before="0" w:after="0"/>
        <w:jc w:val="left"/>
        <w:rPr>
          <w:rFonts w:ascii="Calibri" w:hAnsi="Calibri" w:eastAsia="Times New Roman" w:cs="Arial"/>
          <w:b/>
          <w:b/>
          <w:bCs/>
          <w:color w:val="2A6099"/>
          <w:sz w:val="24"/>
          <w:szCs w:val="24"/>
          <w:lang w:eastAsia="nl-NL"/>
        </w:rPr>
      </w:pPr>
      <w:r>
        <w:rPr>
          <w:rFonts w:eastAsia="Times New Roman" w:cs="Arial" w:ascii="Calibri" w:hAnsi="Calibri"/>
          <w:b/>
          <w:bCs/>
          <w:color w:val="2A6099"/>
          <w:sz w:val="24"/>
          <w:szCs w:val="24"/>
          <w:lang w:eastAsia="nl-NL"/>
        </w:rPr>
      </w:r>
    </w:p>
    <w:p>
      <w:pPr>
        <w:pStyle w:val="Normal"/>
        <w:shd w:val="clear" w:fill="FFFFFF"/>
        <w:bidi w:val="0"/>
        <w:spacing w:lineRule="auto" w:line="240" w:before="0" w:after="0"/>
        <w:jc w:val="left"/>
        <w:rPr>
          <w:rFonts w:eastAsia="Times New Roman" w:cs="Arial" w:asciiTheme="minorHAnsi" w:hAnsiTheme="minorHAnsi"/>
          <w:b/>
          <w:b/>
          <w:bCs/>
          <w:color w:val="2A6099"/>
          <w:kern w:val="0"/>
          <w:sz w:val="24"/>
          <w:szCs w:val="24"/>
          <w:lang w:val="nl-NL" w:eastAsia="nl-NL" w:bidi="ar-SA"/>
        </w:rPr>
      </w:pPr>
      <w:r>
        <w:rPr>
          <w:rFonts w:eastAsia="Times New Roman" w:cs="Arial" w:asciiTheme="minorHAnsi" w:hAnsiTheme="minorHAnsi"/>
          <w:b/>
          <w:bCs/>
          <w:color w:val="2A6099"/>
          <w:kern w:val="0"/>
          <w:sz w:val="24"/>
          <w:szCs w:val="24"/>
          <w:lang w:val="nl-NL" w:eastAsia="nl-NL" w:bidi="ar-SA"/>
        </w:rPr>
      </w:r>
      <w:r>
        <w:br w:type="page"/>
      </w:r>
    </w:p>
    <w:p>
      <w:pPr>
        <w:pStyle w:val="Standard"/>
        <w:jc w:val="left"/>
        <w:rPr/>
      </w:pPr>
      <w:r>
        <w:rPr>
          <w:rFonts w:eastAsia="Droid Sans Fallback" w:cs="Droid Sans Devanagari" w:ascii="Calibri" w:hAnsi="Calibri"/>
          <w:b/>
          <w:bCs/>
          <w:color w:val="2A6099"/>
          <w:kern w:val="2"/>
          <w:sz w:val="24"/>
          <w:szCs w:val="24"/>
          <w:lang w:val="nl-NL" w:eastAsia="zh-CN" w:bidi="hi-IN"/>
        </w:rPr>
        <w:t>FAB TEAM</w:t>
      </w:r>
    </w:p>
    <w:p>
      <w:pPr>
        <w:pStyle w:val="Standard"/>
        <w:shd w:val="clear" w:fill="FFFFFF"/>
        <w:spacing w:lineRule="auto" w:line="240" w:before="0" w:after="0"/>
        <w:jc w:val="left"/>
        <w:rPr>
          <w:b w:val="false"/>
          <w:b w:val="false"/>
          <w:bCs w:val="false"/>
        </w:rPr>
      </w:pPr>
      <w:r>
        <w:rPr>
          <w:rFonts w:eastAsia="Droid Sans Fallback" w:cs="Droid Sans Devanagari" w:ascii="Calibri" w:hAnsi="Calibri"/>
          <w:b w:val="false"/>
          <w:bCs w:val="false"/>
          <w:color w:val="2A6099"/>
          <w:kern w:val="2"/>
          <w:sz w:val="24"/>
          <w:szCs w:val="24"/>
          <w:lang w:val="nl-NL" w:eastAsia="zh-CN" w:bidi="hi-IN"/>
        </w:rPr>
        <w:t>FAB</w:t>
      </w:r>
      <w:r>
        <w:rPr>
          <w:rFonts w:eastAsia="Times New Roman" w:cs="Arial" w:ascii="Calibri" w:hAnsi="Calibri"/>
          <w:b w:val="false"/>
          <w:bCs w:val="false"/>
          <w:color w:val="2A6099"/>
          <w:kern w:val="0"/>
          <w:sz w:val="24"/>
          <w:szCs w:val="24"/>
          <w:lang w:val="nl-NL" w:eastAsia="nl-NL" w:bidi="ar-SA"/>
        </w:rPr>
        <w:t xml:space="preserve"> bestaat uit een team </w:t>
      </w:r>
      <w:r>
        <w:rPr>
          <w:rFonts w:eastAsia="Droid Sans Fallback" w:cs="Droid Sans Devanagari" w:ascii="Calibri" w:hAnsi="Calibri"/>
          <w:b w:val="false"/>
          <w:bCs w:val="false"/>
          <w:color w:val="2A6099"/>
          <w:kern w:val="2"/>
          <w:sz w:val="24"/>
          <w:szCs w:val="24"/>
          <w:lang w:val="nl-NL" w:eastAsia="zh-CN" w:bidi="hi-IN"/>
        </w:rPr>
        <w:t>enthousiaste en professionele collega’s.</w:t>
      </w:r>
      <w:r>
        <w:rPr>
          <w:rFonts w:eastAsia="Times New Roman" w:cs="Arial" w:ascii="Calibri" w:hAnsi="Calibri"/>
          <w:b w:val="false"/>
          <w:bCs w:val="false"/>
          <w:color w:val="2A6099"/>
          <w:kern w:val="0"/>
          <w:sz w:val="24"/>
          <w:szCs w:val="24"/>
          <w:lang w:val="nl-NL" w:eastAsia="nl-NL" w:bidi="ar-SA"/>
        </w:rPr>
        <w:t xml:space="preserve"> Wij werken met ervaren forensisch sociaal werkers onder verantwoordelijkheid van een gedragswetenschapper. FAB</w:t>
      </w:r>
      <w:r>
        <w:rPr>
          <w:rFonts w:eastAsia="Droid Sans Fallback" w:cs="Droid Sans Devanagari" w:ascii="Calibri" w:hAnsi="Calibri"/>
          <w:b w:val="false"/>
          <w:bCs w:val="false"/>
          <w:color w:val="2A6099"/>
          <w:kern w:val="2"/>
          <w:sz w:val="24"/>
          <w:szCs w:val="24"/>
          <w:lang w:val="nl-NL" w:eastAsia="zh-CN" w:bidi="hi-IN"/>
        </w:rPr>
        <w:t xml:space="preserve"> professionals zijn geschoold in de forensische leerlijn en zijn bekwaam in het afnemen van het risicotaxatie instrument FARE.</w:t>
      </w:r>
      <w:r>
        <w:rPr>
          <w:rFonts w:eastAsia="Droid Sans Fallback" w:cs="Droid Sans Devanagari" w:asciiTheme="minorHAnsi" w:hAnsiTheme="minorHAnsi"/>
          <w:b w:val="false"/>
          <w:bCs w:val="false"/>
          <w:color w:val="2A6099"/>
          <w:kern w:val="2"/>
          <w:sz w:val="24"/>
          <w:szCs w:val="24"/>
          <w:lang w:val="nl-NL" w:eastAsia="zh-CN" w:bidi="hi-IN"/>
        </w:rPr>
        <w:t xml:space="preserve"> </w:t>
      </w:r>
    </w:p>
    <w:p>
      <w:pPr>
        <w:pStyle w:val="Normal"/>
        <w:shd w:val="clear" w:fill="FFFFFF"/>
        <w:bidi w:val="0"/>
        <w:spacing w:lineRule="auto" w:line="240" w:before="0" w:after="0"/>
        <w:jc w:val="left"/>
        <w:rPr>
          <w:rFonts w:eastAsia="Times New Roman" w:cs="Arial" w:asciiTheme="minorHAnsi" w:hAnsiTheme="minorHAnsi"/>
          <w:b w:val="false"/>
          <w:b w:val="false"/>
          <w:bCs w:val="false"/>
          <w:color w:val="2A6099"/>
          <w:kern w:val="0"/>
          <w:sz w:val="24"/>
          <w:szCs w:val="24"/>
          <w:lang w:val="nl-NL" w:eastAsia="nl-NL" w:bidi="ar-SA"/>
        </w:rPr>
      </w:pPr>
      <w:r>
        <w:rPr>
          <w:rFonts w:eastAsia="Times New Roman" w:cs="Arial" w:asciiTheme="minorHAnsi" w:hAnsiTheme="minorHAnsi"/>
          <w:b w:val="false"/>
          <w:bCs w:val="false"/>
          <w:color w:val="2A6099"/>
          <w:kern w:val="0"/>
          <w:sz w:val="24"/>
          <w:szCs w:val="24"/>
          <w:lang w:val="nl-NL" w:eastAsia="nl-NL" w:bidi="ar-SA"/>
        </w:rPr>
      </w:r>
    </w:p>
    <w:p>
      <w:pPr>
        <w:pStyle w:val="Normal"/>
        <w:shd w:val="clear" w:fill="FFFFFF"/>
        <w:bidi w:val="0"/>
        <w:spacing w:lineRule="auto" w:line="240" w:before="0" w:after="0"/>
        <w:jc w:val="left"/>
        <w:rPr>
          <w:rFonts w:eastAsia="Times New Roman" w:cs="Arial" w:asciiTheme="minorHAnsi" w:hAnsiTheme="minorHAnsi"/>
          <w:b/>
          <w:b/>
          <w:bCs/>
          <w:color w:val="2A6099"/>
          <w:kern w:val="0"/>
          <w:sz w:val="24"/>
          <w:szCs w:val="24"/>
          <w:lang w:val="nl-NL" w:eastAsia="nl-NL" w:bidi="ar-SA"/>
        </w:rPr>
      </w:pPr>
      <w:r>
        <w:rPr>
          <w:rFonts w:eastAsia="Times New Roman" w:cs="Arial" w:ascii="Calibri" w:hAnsi="Calibri"/>
          <w:b/>
          <w:bCs/>
          <w:color w:val="2A6099"/>
          <w:kern w:val="0"/>
          <w:sz w:val="24"/>
          <w:szCs w:val="24"/>
          <w:lang w:val="nl-NL" w:eastAsia="nl-NL" w:bidi="ar-SA"/>
        </w:rPr>
        <w:t>BEGELEIDING</w:t>
      </w:r>
    </w:p>
    <w:p>
      <w:pPr>
        <w:pStyle w:val="Normal"/>
        <w:shd w:val="clear" w:fill="FFFFFF"/>
        <w:bidi w:val="0"/>
        <w:spacing w:lineRule="auto" w:line="240" w:before="0" w:after="0"/>
        <w:jc w:val="left"/>
        <w:rPr>
          <w:rFonts w:ascii="Calibri" w:hAnsi="Calibri" w:eastAsia="Times New Roman" w:cs="Arial"/>
          <w:color w:val="2A6099"/>
          <w:sz w:val="24"/>
          <w:szCs w:val="24"/>
          <w:lang w:eastAsia="nl-NL"/>
        </w:rPr>
      </w:pPr>
      <w:r>
        <w:rPr>
          <w:rFonts w:eastAsia="Times New Roman" w:cs="Arial" w:ascii="Calibri" w:hAnsi="Calibri"/>
          <w:color w:val="2A6099"/>
          <w:sz w:val="24"/>
          <w:szCs w:val="24"/>
          <w:lang w:eastAsia="nl-NL"/>
        </w:rPr>
        <w:t>De kracht van het forensisch werken ligt in de combinatie van risicobeheersing (controleren en begrenzen) en het ondersteunen van verandering (begeleiden en motiveren), met als doel re-integratie en participatie in de samenleving. In de begeleiding wordt met het oog op de combinatie van deze taken gezocht naar het best mogelijke evenwicht tussen de pijlers veiligheid, zorg en autonomie.</w:t>
      </w:r>
    </w:p>
    <w:p>
      <w:pPr>
        <w:pStyle w:val="Normal"/>
        <w:shd w:val="clear" w:fill="FFFFFF"/>
        <w:bidi w:val="0"/>
        <w:spacing w:lineRule="auto" w:line="240" w:before="0" w:after="0"/>
        <w:jc w:val="left"/>
        <w:rPr>
          <w:rFonts w:ascii="Calibri" w:hAnsi="Calibri" w:eastAsia="Times New Roman" w:cs="Arial"/>
          <w:color w:val="2A6099"/>
          <w:sz w:val="24"/>
          <w:szCs w:val="24"/>
          <w:lang w:eastAsia="nl-NL"/>
        </w:rPr>
      </w:pPr>
      <w:r>
        <w:rPr>
          <w:rFonts w:eastAsia="Times New Roman" w:cs="Arial" w:ascii="Calibri" w:hAnsi="Calibri"/>
          <w:color w:val="2A6099"/>
          <w:sz w:val="24"/>
          <w:szCs w:val="24"/>
          <w:lang w:eastAsia="nl-NL"/>
        </w:rPr>
      </w:r>
    </w:p>
    <w:p>
      <w:pPr>
        <w:pStyle w:val="Normal"/>
        <w:bidi w:val="0"/>
        <w:spacing w:lineRule="auto" w:line="240" w:before="0" w:after="0"/>
        <w:ind w:left="1267" w:right="0" w:hanging="1267"/>
        <w:contextualSpacing/>
        <w:jc w:val="left"/>
        <w:rPr>
          <w:rFonts w:ascii="Calibri" w:hAnsi="Calibri"/>
          <w:color w:val="2A6099"/>
          <w:sz w:val="24"/>
          <w:szCs w:val="24"/>
        </w:rPr>
      </w:pPr>
      <w:r>
        <w:rPr>
          <w:rFonts w:eastAsia="Times New Roman" w:cs="Calibri" w:ascii="Calibri" w:hAnsi="Calibri"/>
          <w:i/>
          <w:color w:val="2A6099"/>
          <w:sz w:val="24"/>
          <w:szCs w:val="24"/>
          <w:lang w:eastAsia="nl-NL"/>
        </w:rPr>
        <w:t>Veiligheid:</w:t>
      </w:r>
      <w:r>
        <w:rPr>
          <w:rFonts w:eastAsia="Times New Roman" w:cs="Calibri" w:ascii="Calibri" w:hAnsi="Calibri"/>
          <w:color w:val="2A6099"/>
          <w:sz w:val="24"/>
          <w:szCs w:val="24"/>
          <w:lang w:eastAsia="nl-NL"/>
        </w:rPr>
        <w:t xml:space="preserve"> </w:t>
        <w:tab/>
        <w:t>Het begrenzen en bijsturen van het gedrag van cliënten welke anderen mogelijk schade kan berokkenen. Nauw contact met de reclassering.</w:t>
      </w:r>
    </w:p>
    <w:p>
      <w:pPr>
        <w:pStyle w:val="Normal"/>
        <w:bidi w:val="0"/>
        <w:spacing w:lineRule="auto" w:line="240" w:before="0" w:after="0"/>
        <w:contextualSpacing/>
        <w:jc w:val="left"/>
        <w:rPr>
          <w:rFonts w:ascii="Calibri" w:hAnsi="Calibri"/>
          <w:color w:val="2A6099"/>
          <w:sz w:val="24"/>
          <w:szCs w:val="24"/>
        </w:rPr>
      </w:pPr>
      <w:r>
        <w:rPr>
          <w:rFonts w:eastAsia="Times New Roman" w:cs="Calibri" w:ascii="Calibri" w:hAnsi="Calibri"/>
          <w:i/>
          <w:color w:val="2A6099"/>
          <w:sz w:val="24"/>
          <w:szCs w:val="24"/>
          <w:lang w:eastAsia="nl-NL"/>
        </w:rPr>
        <w:t>Zorg:</w:t>
      </w:r>
      <w:r>
        <w:rPr>
          <w:rFonts w:eastAsia="Times New Roman" w:cs="Calibri" w:ascii="Calibri" w:hAnsi="Calibri"/>
          <w:color w:val="2A6099"/>
          <w:sz w:val="24"/>
          <w:szCs w:val="24"/>
          <w:lang w:eastAsia="nl-NL"/>
        </w:rPr>
        <w:tab/>
        <w:t xml:space="preserve">          Het bekommeren om diegene die zorg nodig heeft. De feitelijke begeleiding.</w:t>
      </w:r>
    </w:p>
    <w:p>
      <w:pPr>
        <w:pStyle w:val="Normal"/>
        <w:bidi w:val="0"/>
        <w:spacing w:lineRule="auto" w:line="240" w:before="0" w:after="0"/>
        <w:contextualSpacing/>
        <w:jc w:val="left"/>
        <w:rPr>
          <w:rFonts w:ascii="Calibri" w:hAnsi="Calibri"/>
          <w:color w:val="2A6099"/>
          <w:sz w:val="24"/>
          <w:szCs w:val="24"/>
        </w:rPr>
      </w:pPr>
      <w:r>
        <w:rPr>
          <w:rFonts w:eastAsia="Times New Roman" w:cs="Calibri" w:ascii="Calibri" w:hAnsi="Calibri"/>
          <w:i/>
          <w:color w:val="2A6099"/>
          <w:sz w:val="24"/>
          <w:szCs w:val="24"/>
          <w:lang w:eastAsia="nl-NL"/>
        </w:rPr>
        <w:t>Autonomie:</w:t>
      </w:r>
      <w:r>
        <w:rPr>
          <w:rFonts w:eastAsia="Times New Roman" w:cs="Calibri" w:ascii="Calibri" w:hAnsi="Calibri"/>
          <w:color w:val="2A6099"/>
          <w:sz w:val="24"/>
          <w:szCs w:val="24"/>
          <w:lang w:eastAsia="nl-NL"/>
        </w:rPr>
        <w:t xml:space="preserve">  Het (her)vinden van de regie over het eigen leven. Het toewerken naar het</w:t>
      </w:r>
    </w:p>
    <w:p>
      <w:pPr>
        <w:pStyle w:val="Normal"/>
        <w:bidi w:val="0"/>
        <w:spacing w:lineRule="auto" w:line="240" w:before="0" w:after="0"/>
        <w:contextualSpacing/>
        <w:jc w:val="left"/>
        <w:rPr>
          <w:rFonts w:ascii="Calibri" w:hAnsi="Calibri"/>
          <w:color w:val="2A6099"/>
          <w:sz w:val="24"/>
          <w:szCs w:val="24"/>
        </w:rPr>
      </w:pPr>
      <w:r>
        <w:rPr>
          <w:rFonts w:eastAsia="Times New Roman" w:cs="Calibri" w:ascii="Calibri" w:hAnsi="Calibri"/>
          <w:color w:val="2A6099"/>
          <w:sz w:val="24"/>
          <w:szCs w:val="24"/>
          <w:lang w:eastAsia="nl-NL"/>
        </w:rPr>
        <w:t xml:space="preserve">                       </w:t>
      </w:r>
      <w:r>
        <w:rPr>
          <w:rFonts w:eastAsia="Times New Roman" w:cs="Calibri" w:ascii="Calibri" w:hAnsi="Calibri"/>
          <w:color w:val="2A6099"/>
          <w:sz w:val="24"/>
          <w:szCs w:val="24"/>
          <w:lang w:eastAsia="nl-NL"/>
        </w:rPr>
        <w:t>maken van eigen keuzes, de daarbij behorende verantwoordelijkheid leren</w:t>
      </w:r>
    </w:p>
    <w:p>
      <w:pPr>
        <w:pStyle w:val="Normal"/>
        <w:bidi w:val="0"/>
        <w:spacing w:lineRule="auto" w:line="240" w:before="0" w:after="0"/>
        <w:contextualSpacing/>
        <w:jc w:val="left"/>
        <w:rPr>
          <w:rFonts w:ascii="Calibri" w:hAnsi="Calibri"/>
          <w:color w:val="2A6099"/>
          <w:sz w:val="24"/>
          <w:szCs w:val="24"/>
        </w:rPr>
      </w:pPr>
      <w:r>
        <w:rPr>
          <w:rFonts w:eastAsia="Times New Roman" w:cs="Calibri" w:ascii="Calibri" w:hAnsi="Calibri"/>
          <w:color w:val="2A6099"/>
          <w:sz w:val="24"/>
          <w:szCs w:val="24"/>
          <w:lang w:eastAsia="nl-NL"/>
        </w:rPr>
        <w:t xml:space="preserve">                       </w:t>
      </w:r>
      <w:r>
        <w:rPr>
          <w:rFonts w:eastAsia="Times New Roman" w:cs="Calibri" w:ascii="Calibri" w:hAnsi="Calibri"/>
          <w:color w:val="2A6099"/>
          <w:sz w:val="24"/>
          <w:szCs w:val="24"/>
          <w:lang w:eastAsia="nl-NL"/>
        </w:rPr>
        <w:t xml:space="preserve">oppakken en de consequenties van het eigen gedrag aanvaarden. </w:t>
      </w:r>
    </w:p>
    <w:p>
      <w:pPr>
        <w:pStyle w:val="Normal"/>
        <w:bidi w:val="0"/>
        <w:spacing w:lineRule="auto" w:line="240" w:before="0" w:after="0"/>
        <w:contextualSpacing/>
        <w:jc w:val="left"/>
        <w:rPr>
          <w:rFonts w:ascii="Calibri" w:hAnsi="Calibri" w:eastAsia="Times New Roman" w:cs="Calibri"/>
          <w:lang w:eastAsia="nl-NL"/>
        </w:rPr>
      </w:pPr>
      <w:r>
        <w:rPr>
          <w:rFonts w:eastAsia="Times New Roman" w:cs="Calibri" w:ascii="Calibri" w:hAnsi="Calibri"/>
          <w:lang w:eastAsia="nl-NL"/>
        </w:rPr>
      </w:r>
    </w:p>
    <w:p>
      <w:pPr>
        <w:pStyle w:val="Normal"/>
        <w:shd w:val="clear" w:fill="FFFFFF"/>
        <w:suppressAutoHyphens w:val="true"/>
        <w:bidi w:val="0"/>
        <w:spacing w:lineRule="auto" w:line="240" w:before="0" w:after="135"/>
        <w:jc w:val="left"/>
        <w:textAlignment w:val="baseline"/>
        <w:rPr/>
      </w:pPr>
      <w:r>
        <w:rPr>
          <w:rFonts w:eastAsia="Times New Roman" w:cs="Arial" w:ascii="Calibri" w:hAnsi="Calibri"/>
          <w:color w:val="2A6099"/>
          <w:kern w:val="2"/>
          <w:sz w:val="24"/>
          <w:szCs w:val="24"/>
          <w:lang w:eastAsia="nl-NL" w:bidi="hi-IN"/>
        </w:rPr>
        <w:t xml:space="preserve">De forensisch sociale begeleiding vanuit FAB richt zich onder andere op de leefgebieden wonen, dagbesteding, financiën en middelengebruik. De insteek is praktisch en flexibel van aard waarbij rekening wordt gehouden met het niveau van zelfredzaamheid van de cliënt. De begeleiding wordt afgestemd met de verwijzende instantie en waar mogelijk in samenspraak met de cliënt bepaald. </w:t>
      </w:r>
    </w:p>
    <w:p>
      <w:pPr>
        <w:pStyle w:val="Standard"/>
        <w:spacing w:lineRule="auto" w:line="240" w:before="0" w:after="0"/>
        <w:contextualSpacing/>
        <w:jc w:val="left"/>
        <w:rPr/>
      </w:pPr>
      <w:r>
        <w:rPr>
          <w:rFonts w:eastAsia="Times New Roman" w:cs="Calibri" w:ascii="Calibri" w:hAnsi="Calibri"/>
          <w:color w:val="2A6099"/>
          <w:kern w:val="0"/>
          <w:sz w:val="24"/>
          <w:szCs w:val="24"/>
          <w:lang w:eastAsia="nl-NL"/>
        </w:rPr>
        <w:t xml:space="preserve">Continuïteit van zorg is van groot belang. </w:t>
      </w:r>
      <w:r>
        <w:rPr>
          <w:rFonts w:eastAsia="Times New Roman" w:cs="Calibri" w:ascii="Calibri" w:hAnsi="Calibri"/>
          <w:color w:val="2A6099"/>
          <w:kern w:val="0"/>
          <w:sz w:val="24"/>
          <w:szCs w:val="24"/>
          <w:lang w:val="nl-NL" w:eastAsia="nl-NL" w:bidi="hi-IN"/>
        </w:rPr>
        <w:t>FAB</w:t>
      </w:r>
      <w:r>
        <w:rPr>
          <w:rFonts w:eastAsia="Times New Roman" w:cs="Calibri" w:ascii="Calibri" w:hAnsi="Calibri"/>
          <w:color w:val="2A6099"/>
          <w:kern w:val="0"/>
          <w:sz w:val="24"/>
          <w:szCs w:val="24"/>
          <w:lang w:eastAsia="nl-NL"/>
        </w:rPr>
        <w:t xml:space="preserve"> onderschrijft dit en kan de begeleiding na afloop van de justitiële titel, wanneer geïndiceerd,  voortzetten in vrijwillig kader.</w:t>
      </w:r>
      <w:r>
        <w:rPr>
          <w:rFonts w:eastAsia="Times New Roman" w:cs="Arial"/>
          <w:color w:val="2A6099"/>
          <w:sz w:val="24"/>
          <w:szCs w:val="24"/>
          <w:lang w:eastAsia="nl-NL"/>
        </w:rPr>
        <w:t xml:space="preserve"> </w:t>
      </w:r>
    </w:p>
    <w:p>
      <w:pPr>
        <w:pStyle w:val="Tekstblok"/>
        <w:shd w:val="clear" w:fill="FFFFFF"/>
        <w:spacing w:lineRule="auto" w:line="240" w:before="0" w:after="0"/>
        <w:jc w:val="left"/>
        <w:rPr>
          <w:rFonts w:eastAsia="Times New Roman" w:cs="Arial"/>
          <w:color w:val="2A6099"/>
          <w:sz w:val="24"/>
          <w:szCs w:val="24"/>
          <w:lang w:eastAsia="nl-NL"/>
        </w:rPr>
      </w:pPr>
      <w:r>
        <w:rPr>
          <w:rFonts w:eastAsia="Times New Roman" w:cs="Arial"/>
          <w:color w:val="2A6099"/>
          <w:sz w:val="24"/>
          <w:szCs w:val="24"/>
          <w:lang w:eastAsia="nl-NL"/>
        </w:rPr>
      </w:r>
    </w:p>
    <w:p>
      <w:pPr>
        <w:pStyle w:val="Normal"/>
        <w:spacing w:lineRule="auto" w:line="240"/>
        <w:jc w:val="left"/>
        <w:rPr>
          <w:rFonts w:ascii="Calibri" w:hAnsi="Calibri"/>
          <w:color w:val="2A6099"/>
        </w:rPr>
      </w:pPr>
      <w:r>
        <w:rPr>
          <w:rFonts w:eastAsia="" w:cs="" w:ascii="Calibri" w:hAnsi="Calibri" w:cstheme="minorBidi" w:eastAsiaTheme="minorHAnsi"/>
          <w:b/>
          <w:bCs/>
          <w:color w:val="2A6099"/>
          <w:kern w:val="0"/>
          <w:sz w:val="24"/>
          <w:szCs w:val="24"/>
          <w:lang w:val="nl-NL" w:eastAsia="en-US" w:bidi="ar-SA"/>
        </w:rPr>
        <w:t>KENMERKEN</w:t>
      </w:r>
    </w:p>
    <w:p>
      <w:pPr>
        <w:pStyle w:val="Normal"/>
        <w:numPr>
          <w:ilvl w:val="0"/>
          <w:numId w:val="2"/>
        </w:numPr>
        <w:spacing w:lineRule="auto" w:line="240"/>
        <w:jc w:val="left"/>
        <w:rPr>
          <w:rFonts w:ascii="Calibri" w:hAnsi="Calibri"/>
          <w:color w:val="2A6099"/>
        </w:rPr>
      </w:pPr>
      <w:r>
        <w:rPr>
          <w:rFonts w:ascii="Calibri" w:hAnsi="Calibri"/>
          <w:b w:val="false"/>
          <w:bCs w:val="false"/>
          <w:color w:val="2A6099"/>
          <w:sz w:val="24"/>
          <w:szCs w:val="24"/>
        </w:rPr>
        <w:t>Kennis van het werken met cliënten met complexe en meervoudige problematiek</w:t>
      </w:r>
    </w:p>
    <w:p>
      <w:pPr>
        <w:pStyle w:val="Normal"/>
        <w:numPr>
          <w:ilvl w:val="0"/>
          <w:numId w:val="2"/>
        </w:numPr>
        <w:spacing w:lineRule="auto" w:line="240"/>
        <w:jc w:val="left"/>
        <w:rPr>
          <w:rFonts w:ascii="Calibri" w:hAnsi="Calibri"/>
          <w:color w:val="2A6099"/>
        </w:rPr>
      </w:pPr>
      <w:r>
        <w:rPr>
          <w:rFonts w:ascii="Calibri" w:hAnsi="Calibri"/>
          <w:b w:val="false"/>
          <w:bCs w:val="false"/>
          <w:color w:val="2A6099"/>
          <w:sz w:val="24"/>
          <w:szCs w:val="24"/>
        </w:rPr>
        <w:t>Kennis op het gebied van werken in (semi-)gedwongen kader met oog voor de veiligheid van de samenleving</w:t>
      </w:r>
    </w:p>
    <w:p>
      <w:pPr>
        <w:pStyle w:val="Normal"/>
        <w:numPr>
          <w:ilvl w:val="0"/>
          <w:numId w:val="1"/>
        </w:numPr>
        <w:spacing w:lineRule="auto" w:line="240"/>
        <w:jc w:val="left"/>
        <w:rPr>
          <w:rFonts w:ascii="Calibri" w:hAnsi="Calibri"/>
          <w:color w:val="2A6099"/>
        </w:rPr>
      </w:pPr>
      <w:r>
        <w:rPr>
          <w:rFonts w:ascii="Calibri" w:hAnsi="Calibri"/>
          <w:b w:val="false"/>
          <w:bCs w:val="false"/>
          <w:color w:val="2A6099"/>
          <w:sz w:val="24"/>
          <w:szCs w:val="24"/>
        </w:rPr>
        <w:t>Intensieve samenwerking met de AFPN/ FORINT en de reclassering</w:t>
      </w:r>
    </w:p>
    <w:p>
      <w:pPr>
        <w:pStyle w:val="Normal"/>
        <w:numPr>
          <w:ilvl w:val="0"/>
          <w:numId w:val="1"/>
        </w:numPr>
        <w:bidi w:val="0"/>
        <w:spacing w:lineRule="auto" w:line="240" w:before="0" w:after="0"/>
        <w:contextualSpacing/>
        <w:jc w:val="left"/>
        <w:rPr>
          <w:rFonts w:ascii="Calibri" w:hAnsi="Calibri" w:eastAsia="Times New Roman" w:cs="Calibri"/>
          <w:color w:val="2A6099"/>
          <w:lang w:eastAsia="nl-NL"/>
        </w:rPr>
      </w:pPr>
      <w:r>
        <w:rPr>
          <w:rFonts w:eastAsia="Times New Roman" w:cs="Calibri" w:ascii="Calibri" w:hAnsi="Calibri"/>
          <w:b w:val="false"/>
          <w:bCs w:val="false"/>
          <w:color w:val="2A6099"/>
          <w:sz w:val="24"/>
          <w:szCs w:val="24"/>
          <w:lang w:eastAsia="nl-NL"/>
        </w:rPr>
        <w:t>Praktisch, flexibel en outreachend</w:t>
      </w:r>
    </w:p>
    <w:p>
      <w:pPr>
        <w:pStyle w:val="Normal"/>
        <w:numPr>
          <w:ilvl w:val="0"/>
          <w:numId w:val="0"/>
        </w:numPr>
        <w:bidi w:val="0"/>
        <w:spacing w:lineRule="auto" w:line="240" w:before="0" w:after="0"/>
        <w:ind w:left="720" w:hanging="0"/>
        <w:contextualSpacing/>
        <w:jc w:val="left"/>
        <w:rPr>
          <w:b w:val="false"/>
          <w:b w:val="false"/>
          <w:bCs w:val="false"/>
          <w:color w:val="2A6099"/>
          <w:sz w:val="24"/>
          <w:szCs w:val="24"/>
        </w:rPr>
      </w:pPr>
      <w:r>
        <w:rPr>
          <w:b w:val="false"/>
          <w:bCs w:val="false"/>
          <w:color w:val="2A6099"/>
          <w:sz w:val="24"/>
          <w:szCs w:val="24"/>
        </w:rPr>
      </w:r>
    </w:p>
    <w:p>
      <w:pPr>
        <w:pStyle w:val="Standard"/>
        <w:suppressAutoHyphens w:val="true"/>
        <w:spacing w:lineRule="auto" w:line="240" w:before="0" w:after="0"/>
        <w:jc w:val="left"/>
        <w:textAlignment w:val="baseline"/>
        <w:rPr>
          <w:rFonts w:ascii="Calibri" w:hAnsi="Calibri" w:eastAsia="Droid Sans Fallback" w:cs="Droid Sans Devanagari"/>
          <w:b/>
          <w:b/>
          <w:bCs/>
          <w:color w:val="2A6099"/>
          <w:kern w:val="2"/>
          <w:sz w:val="24"/>
          <w:szCs w:val="24"/>
          <w:lang w:val="nl-NL" w:eastAsia="zh-CN" w:bidi="hi-IN"/>
        </w:rPr>
      </w:pPr>
      <w:r>
        <w:rPr>
          <w:rFonts w:eastAsia="Droid Sans Fallback" w:cs="Droid Sans Devanagari" w:ascii="Calibri" w:hAnsi="Calibri"/>
          <w:b/>
          <w:bCs/>
          <w:color w:val="2A6099"/>
          <w:kern w:val="2"/>
          <w:sz w:val="24"/>
          <w:szCs w:val="24"/>
          <w:lang w:val="nl-NL" w:eastAsia="zh-CN" w:bidi="hi-IN"/>
        </w:rPr>
        <w:t>AANMELDEN</w:t>
      </w:r>
    </w:p>
    <w:p>
      <w:pPr>
        <w:pStyle w:val="Standard"/>
        <w:shd w:val="clear" w:fill="FFFFFF"/>
        <w:suppressAutoHyphens w:val="true"/>
        <w:spacing w:lineRule="auto" w:line="240" w:before="0" w:after="0"/>
        <w:jc w:val="left"/>
        <w:textAlignment w:val="baseline"/>
        <w:rPr/>
      </w:pPr>
      <w:r>
        <w:rPr>
          <w:rFonts w:eastAsia="Droid Sans Fallback" w:cs="Droid Sans Devanagari" w:ascii="Calibri" w:hAnsi="Calibri"/>
          <w:b w:val="false"/>
          <w:bCs w:val="false"/>
          <w:color w:val="2A6099"/>
          <w:kern w:val="2"/>
          <w:sz w:val="24"/>
          <w:szCs w:val="24"/>
          <w:lang w:val="nl-NL" w:eastAsia="zh-CN" w:bidi="hi-IN"/>
        </w:rPr>
        <w:t xml:space="preserve">Verwijzingen vanuit </w:t>
      </w:r>
      <w:r>
        <w:rPr>
          <w:rFonts w:eastAsia="Times New Roman" w:cs="Calibri" w:ascii="Calibri" w:hAnsi="Calibri"/>
          <w:b w:val="false"/>
          <w:bCs w:val="false"/>
          <w:color w:val="2A6099"/>
          <w:kern w:val="2"/>
          <w:sz w:val="24"/>
          <w:szCs w:val="24"/>
          <w:lang w:val="nl-NL" w:eastAsia="nl-NL" w:bidi="hi-IN"/>
        </w:rPr>
        <w:t xml:space="preserve">reclassering en/of door de Zorg- en Veiligheidshuizen kunnen gedaan worden bij de zorgcoördinator </w:t>
      </w:r>
      <w:r>
        <w:rPr>
          <w:rFonts w:eastAsia="Times New Roman" w:cs="Calibri" w:ascii="Calibri" w:hAnsi="Calibri"/>
          <w:b w:val="false"/>
          <w:bCs w:val="false"/>
          <w:color w:val="2A6099"/>
          <w:kern w:val="2"/>
          <w:sz w:val="24"/>
          <w:szCs w:val="24"/>
          <w:lang w:val="nl-NL" w:eastAsia="nl-NL" w:bidi="hi-IN"/>
        </w:rPr>
        <w:t>van Zinso</w:t>
      </w:r>
      <w:r>
        <w:rPr>
          <w:rFonts w:eastAsia="Times New Roman" w:cs="Calibri" w:ascii="Calibri" w:hAnsi="Calibri"/>
          <w:b w:val="false"/>
          <w:bCs w:val="false"/>
          <w:color w:val="2A6099"/>
          <w:kern w:val="2"/>
          <w:sz w:val="24"/>
          <w:szCs w:val="24"/>
          <w:lang w:val="nl-NL" w:eastAsia="nl-NL" w:bidi="hi-IN"/>
        </w:rPr>
        <w:t xml:space="preserve"> op telefoonnummer </w:t>
      </w:r>
      <w:r>
        <w:rPr>
          <w:rFonts w:eastAsia="Times New Roman" w:cs="Calibri" w:ascii="Calibri" w:hAnsi="Calibri"/>
          <w:b/>
          <w:bCs/>
          <w:color w:val="2A6099"/>
          <w:kern w:val="2"/>
          <w:sz w:val="24"/>
          <w:szCs w:val="24"/>
          <w:lang w:val="nl-NL" w:eastAsia="nl-NL" w:bidi="hi-IN"/>
        </w:rPr>
        <w:t>050-7440300</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Droid Sans Fallback" w:cs="Droid Sans Devanagari"/>
        <w:kern w:val="2"/>
        <w:sz w:val="20"/>
        <w:szCs w:val="24"/>
        <w:lang w:val="nl-NL" w:eastAsia="zh-CN" w:bidi="hi-IN"/>
      </w:rPr>
    </w:rPrDefault>
    <w:pPrDefault>
      <w:pPr/>
    </w:pPrDefault>
  </w:docDefaults>
  <w:style w:type="paragraph" w:styleId="Normal">
    <w:name w:val="Normal"/>
    <w:qFormat/>
    <w:pPr>
      <w:widowControl/>
      <w:suppressAutoHyphens w:val="true"/>
      <w:bidi w:val="0"/>
      <w:spacing w:before="0" w:after="0"/>
      <w:jc w:val="left"/>
    </w:pPr>
    <w:rPr>
      <w:rFonts w:ascii="Verdana" w:hAnsi="Verdana" w:eastAsia="Droid Sans Fallback" w:cs="Droid Sans Devanagari"/>
      <w:color w:val="auto"/>
      <w:kern w:val="2"/>
      <w:sz w:val="24"/>
      <w:szCs w:val="24"/>
      <w:lang w:val="nl-NL" w:eastAsia="zh-CN" w:bidi="hi-IN"/>
    </w:rPr>
  </w:style>
  <w:style w:type="character" w:styleId="ListLabel1">
    <w:name w:val="ListLabel 1"/>
    <w:qFormat/>
    <w:rPr>
      <w:rFonts w:ascii="Calibri" w:hAnsi="Calibri" w:cs="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Calibri" w:hAnsi="Calibri" w:cs="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Symbol"/>
    </w:rPr>
  </w:style>
  <w:style w:type="character" w:styleId="ListLabel17">
    <w:name w:val="ListLabel 17"/>
    <w:qFormat/>
    <w:rPr>
      <w:rFonts w:cs="OpenSymbol"/>
    </w:rPr>
  </w:style>
  <w:style w:type="character" w:styleId="ListLabel18">
    <w:name w:val="ListLabel 18"/>
    <w:qFormat/>
    <w:rPr>
      <w:rFonts w:cs="OpenSymbol"/>
    </w:rPr>
  </w:style>
  <w:style w:type="paragraph" w:styleId="Kop">
    <w:name w:val="Kop"/>
    <w:basedOn w:val="Normal"/>
    <w:next w:val="Tekstblok"/>
    <w:qFormat/>
    <w:pPr>
      <w:keepNext w:val="true"/>
      <w:spacing w:before="240" w:after="120"/>
    </w:pPr>
    <w:rPr>
      <w:rFonts w:ascii="Verdana" w:hAnsi="Verdana" w:eastAsia="Droid Sans Fallback" w:cs="Droid Sans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ascii="Verdana" w:hAnsi="Verdana" w:cs="Droid Sans Devanagari"/>
    </w:rPr>
  </w:style>
  <w:style w:type="paragraph" w:styleId="Bijschrift">
    <w:name w:val="Caption"/>
    <w:basedOn w:val="Normal"/>
    <w:qFormat/>
    <w:pPr>
      <w:suppressLineNumbers/>
      <w:spacing w:before="120" w:after="120"/>
    </w:pPr>
    <w:rPr>
      <w:rFonts w:ascii="Verdana" w:hAnsi="Verdana" w:cs="Droid Sans Devanagari"/>
      <w:i/>
      <w:iCs/>
      <w:sz w:val="24"/>
      <w:szCs w:val="24"/>
    </w:rPr>
  </w:style>
  <w:style w:type="paragraph" w:styleId="Index">
    <w:name w:val="Index"/>
    <w:basedOn w:val="Normal"/>
    <w:qFormat/>
    <w:pPr>
      <w:suppressLineNumbers/>
    </w:pPr>
    <w:rPr>
      <w:rFonts w:ascii="Verdana" w:hAnsi="Verdana" w:cs="Droid Sans Devanagari"/>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Droid Sans Fallback" w:cs="Droid Sans Devanagari"/>
      <w:color w:val="auto"/>
      <w:kern w:val="2"/>
      <w:sz w:val="24"/>
      <w:szCs w:val="24"/>
      <w:lang w:val="nl-NL" w:eastAsia="zh-CN" w:bidi="hi-IN"/>
    </w:rPr>
  </w:style>
  <w:style w:type="paragraph" w:styleId="Textbody">
    <w:name w:val="Text body"/>
    <w:basedOn w:val="Normal"/>
    <w:qFormat/>
    <w:pPr>
      <w:suppressAutoHyphens w:val="true"/>
      <w:spacing w:lineRule="auto" w:line="276" w:before="0" w:after="140"/>
      <w:textAlignment w:val="baseline"/>
    </w:pPr>
    <w:rPr>
      <w:rFonts w:ascii="Liberation Serif" w:hAnsi="Liberation Serif" w:eastAsia="Droid Sans Fallback" w:cs="Droid Sans Devanagari"/>
      <w:kern w:val="2"/>
      <w:sz w:val="24"/>
      <w:szCs w:val="24"/>
      <w:lang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LibreOffice/6.1.1.2$Windows_X86_64 LibreOffice_project/5d19a1bfa650b796764388cd8b33a5af1f5baa1b</Application>
  <Pages>2</Pages>
  <Words>632</Words>
  <Characters>3783</Characters>
  <CharactersWithSpaces>4459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2021-03-10T11:59:50Z</dcterms:created>
  <dc:creator/>
  <dc:description/>
  <dc:language>nl-NL</dc:language>
  <cp:lastModifiedBy/>
  <cp:lastPrinted>2021-03-10T14:49:13Z</cp:lastPrinted>
  <dcterms:modified xsi:type="dcterms:W3CDTF">2022-04-27T10:03:23Z</dcterms:modified>
  <cp:revision>7</cp:revision>
  <dc:subject/>
  <dc:title/>
</cp:coreProperties>
</file>